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2595" w:type="dxa"/>
        <w:tblLook w:val="04A0" w:firstRow="1" w:lastRow="0" w:firstColumn="1" w:lastColumn="0" w:noHBand="0" w:noVBand="1"/>
      </w:tblPr>
      <w:tblGrid>
        <w:gridCol w:w="728"/>
        <w:gridCol w:w="6064"/>
        <w:gridCol w:w="3396"/>
        <w:gridCol w:w="2407"/>
      </w:tblGrid>
      <w:tr w:rsidR="0055002F" w:rsidTr="0073098E">
        <w:trPr>
          <w:gridAfter w:val="1"/>
          <w:wAfter w:w="2407" w:type="dxa"/>
          <w:trHeight w:val="845"/>
        </w:trPr>
        <w:tc>
          <w:tcPr>
            <w:tcW w:w="728" w:type="dxa"/>
          </w:tcPr>
          <w:p w:rsidR="0055002F" w:rsidRDefault="006855CC">
            <w:r>
              <w:t>Eil.nr.</w:t>
            </w:r>
          </w:p>
        </w:tc>
        <w:tc>
          <w:tcPr>
            <w:tcW w:w="6064" w:type="dxa"/>
          </w:tcPr>
          <w:p w:rsidR="0055002F" w:rsidRDefault="003F4AA0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formos</w:t>
            </w:r>
            <w:proofErr w:type="spellEnd"/>
          </w:p>
        </w:tc>
        <w:tc>
          <w:tcPr>
            <w:tcW w:w="3396" w:type="dxa"/>
          </w:tcPr>
          <w:p w:rsidR="0055002F" w:rsidRDefault="006855CC">
            <w:proofErr w:type="spellStart"/>
            <w:r>
              <w:t>Gerosios</w:t>
            </w:r>
            <w:proofErr w:type="spellEnd"/>
            <w:r>
              <w:t xml:space="preserve"> </w:t>
            </w:r>
            <w:proofErr w:type="spellStart"/>
            <w:r>
              <w:t>patirties</w:t>
            </w:r>
            <w:proofErr w:type="spellEnd"/>
            <w:r>
              <w:t xml:space="preserve">  </w:t>
            </w:r>
            <w:proofErr w:type="spellStart"/>
            <w:r>
              <w:t>tiekėjas</w:t>
            </w:r>
            <w:proofErr w:type="spellEnd"/>
          </w:p>
        </w:tc>
      </w:tr>
      <w:tr w:rsidR="00127E91" w:rsidTr="0073098E">
        <w:trPr>
          <w:trHeight w:val="3045"/>
        </w:trPr>
        <w:tc>
          <w:tcPr>
            <w:tcW w:w="728" w:type="dxa"/>
          </w:tcPr>
          <w:p w:rsidR="00127E91" w:rsidRDefault="00BE31E3">
            <w:bookmarkStart w:id="0" w:name="_GoBack" w:colFirst="2" w:colLast="2"/>
            <w:r>
              <w:t>1.</w:t>
            </w:r>
          </w:p>
        </w:tc>
        <w:tc>
          <w:tcPr>
            <w:tcW w:w="6064" w:type="dxa"/>
          </w:tcPr>
          <w:p w:rsidR="00E35562" w:rsidRPr="00E35562" w:rsidRDefault="00E35562" w:rsidP="009B3943">
            <w:pPr>
              <w:spacing w:after="16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E35562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Pranešimai - paskaitos</w:t>
            </w:r>
          </w:p>
          <w:p w:rsidR="009B3943" w:rsidRPr="009B3943" w:rsidRDefault="009B3943" w:rsidP="009B394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Paskaitos „Įtraukiojo ugdymo galimybės ir principai“</w:t>
            </w:r>
            <w:r w:rsidRPr="009B39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C53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Paskaita „Tėvų vaidmuo stiprinant mokinių kompetencijas“</w:t>
            </w:r>
            <w:r w:rsidR="000C535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Paskaita  „Universalaus dizaino naudojimas ugdymo procese“</w:t>
            </w:r>
            <w:r w:rsidR="000C535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Paskaita „Į mokinį orientuotas ugdymas“</w:t>
            </w:r>
            <w:r w:rsidR="000C535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Paskaita socialiniams pedagogams „Įtraukusis ugdymas: galimybės ir barjerai“</w:t>
            </w:r>
            <w:r w:rsidR="000C535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 miesto specialistams: „</w:t>
            </w:r>
            <w:r w:rsidRPr="009B39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PUPP ir Brandos egzaminų pritaikymas"</w:t>
            </w:r>
            <w:r w:rsidR="000C53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Pranešimas „Ruošiamės </w:t>
            </w:r>
            <w:proofErr w:type="spellStart"/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įtraukiajam</w:t>
            </w:r>
            <w:proofErr w:type="spellEnd"/>
            <w:r w:rsidRPr="009B39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ugdymui“</w:t>
            </w:r>
            <w:r w:rsidR="000C535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 „Dokumentų pildymo naujovės“</w:t>
            </w:r>
            <w:r w:rsidR="000C53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Pranešimas: „Atnaujintų Bendrųjų programų pritaikymo rekomendacijos“</w:t>
            </w:r>
            <w:r w:rsidR="000C53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 „ Ankstyvojo amžiaus vaikų ugdymo ypatumai“</w:t>
            </w:r>
            <w:r w:rsidR="000C53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B3943" w:rsidRPr="009B3943" w:rsidRDefault="009B3943" w:rsidP="009B3943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9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Pranešimas „Specialiojo pedagogo veikla ikimokyklinio ugdymo įstaigoje“. </w:t>
            </w:r>
          </w:p>
          <w:p w:rsidR="004C593D" w:rsidRPr="00D06F32" w:rsidRDefault="004C593D" w:rsidP="00D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9B3943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Gerda Šlenfuktaitė </w:t>
            </w:r>
            <w:proofErr w:type="spell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logopedė</w:t>
            </w:r>
            <w:proofErr w:type="spellEnd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metodininkė</w:t>
            </w:r>
            <w:proofErr w:type="spellEnd"/>
            <w:proofErr w:type="gram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Neringa</w:t>
            </w:r>
            <w:proofErr w:type="gramEnd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Janušauskienė</w:t>
            </w:r>
            <w:proofErr w:type="spellEnd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specialioji</w:t>
            </w:r>
            <w:proofErr w:type="spellEnd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pedagogė</w:t>
            </w:r>
            <w:proofErr w:type="spellEnd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metodininkė</w:t>
            </w:r>
            <w:proofErr w:type="spellEnd"/>
            <w:r w:rsidRPr="00EB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EB1992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27E91" w:rsidRPr="00577B13" w:rsidRDefault="00127E91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02BE0" w:rsidTr="00E4323B">
        <w:trPr>
          <w:trHeight w:val="3225"/>
        </w:trPr>
        <w:tc>
          <w:tcPr>
            <w:tcW w:w="728" w:type="dxa"/>
          </w:tcPr>
          <w:p w:rsidR="00E02BE0" w:rsidRDefault="00E02BE0">
            <w:r>
              <w:t>2.</w:t>
            </w:r>
          </w:p>
        </w:tc>
        <w:tc>
          <w:tcPr>
            <w:tcW w:w="6064" w:type="dxa"/>
          </w:tcPr>
          <w:p w:rsidR="00262E0F" w:rsidRDefault="00262E0F" w:rsidP="00262E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Kvalifikacijos tobulinimo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262E0F" w:rsidRDefault="00262E0F" w:rsidP="00262E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262E0F" w:rsidRDefault="00262E0F" w:rsidP="00262E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Ilgalaikės p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“Mokytojo padėjėjo darbo ypatumai įtraukiojo ugdymo sąlygomis” II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modulis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Mokytojų padėjėjų darbo ypatumai su mokinių,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emocinė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elgesio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bendravimo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problemo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s”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  <w:p w:rsidR="00262E0F" w:rsidRDefault="00262E0F" w:rsidP="00262E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:rsidR="00262E0F" w:rsidRDefault="00262E0F" w:rsidP="00262E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Ilgalaikės p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“Mokytojo padėjėjo darbo ypatumai įtraukiojo ugdymo sąlygomis” 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modulis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pagalbos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mokiniui,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turinčiam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gebėjimą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savarankiškai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spręsti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kylančias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ugdymo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val.</w:t>
            </w:r>
          </w:p>
          <w:p w:rsidR="00262E0F" w:rsidRDefault="00262E0F" w:rsidP="00262E0F">
            <w:pPr>
              <w:ind w:left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2E0F" w:rsidRDefault="00262E0F" w:rsidP="00262E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psichologams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Pagalba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turintiems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specialiųjų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įtraukiojo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ugdymo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sąlygomis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”.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val.</w:t>
            </w:r>
          </w:p>
          <w:p w:rsidR="00262E0F" w:rsidRDefault="00262E0F" w:rsidP="00262E0F">
            <w:pPr>
              <w:ind w:lef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E02BE0" w:rsidRPr="004F015C" w:rsidRDefault="00262E0F" w:rsidP="0026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Pranešimas ilgalaikės programos “Į mokinį orientuotas ugdymas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įtraukties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kontekste” modulio seminare “Psichologinės problemos ir jų sprendimo būdai įtraukiojo ugdymo sąlygomis”: “Įtraukusis ugdymas ir jį vykdančių dalyvių psichologiniai iššūkiai”.</w:t>
            </w: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262E0F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Pupkienė,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242EE3">
        <w:trPr>
          <w:trHeight w:val="2250"/>
        </w:trPr>
        <w:tc>
          <w:tcPr>
            <w:tcW w:w="728" w:type="dxa"/>
          </w:tcPr>
          <w:p w:rsidR="00E02BE0" w:rsidRDefault="00E02BE0" w:rsidP="00E4323B">
            <w:r>
              <w:lastRenderedPageBreak/>
              <w:t>3.</w:t>
            </w:r>
          </w:p>
        </w:tc>
        <w:tc>
          <w:tcPr>
            <w:tcW w:w="6064" w:type="dxa"/>
          </w:tcPr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9B" w:rsidRDefault="00CF179B" w:rsidP="00CF1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Pranešimai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CF179B" w:rsidRDefault="00CF179B" w:rsidP="00CF1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79B" w:rsidRPr="00CF179B" w:rsidRDefault="00CF179B" w:rsidP="00CF179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F179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Paskaita</w:t>
            </w:r>
            <w:r w:rsidRPr="00CF1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tėvams ir mokytojams “Ikimokyklinio amžiaus vaikų psichosocialinės raidos ypatumai </w:t>
            </w:r>
            <w:r w:rsidRPr="00CF179B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CF179B" w:rsidRPr="00CF179B" w:rsidRDefault="00CF179B" w:rsidP="00CF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9B" w:rsidRPr="00CF179B" w:rsidRDefault="00CF179B" w:rsidP="00CF179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“Savižudybių prevencija”, </w:t>
            </w:r>
            <w:r w:rsidRPr="00CF179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pranešimas</w:t>
            </w:r>
            <w:r w:rsidRPr="00CF17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 klasės mokiniams.</w:t>
            </w:r>
          </w:p>
          <w:p w:rsidR="00CF179B" w:rsidRDefault="00CF179B" w:rsidP="00CF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D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81A64" w:rsidRDefault="00B81A64" w:rsidP="00B8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Vilija Šiugždinytė,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  <w:p w:rsidR="00B81A64" w:rsidRDefault="00B81A64" w:rsidP="00B8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84" w:rsidTr="003B4E66">
        <w:trPr>
          <w:gridAfter w:val="1"/>
          <w:wAfter w:w="2407" w:type="dxa"/>
          <w:trHeight w:val="2250"/>
        </w:trPr>
        <w:tc>
          <w:tcPr>
            <w:tcW w:w="728" w:type="dxa"/>
          </w:tcPr>
          <w:p w:rsidR="005F3884" w:rsidRDefault="005F3884" w:rsidP="003B4E66">
            <w:r>
              <w:t>4.</w:t>
            </w:r>
          </w:p>
        </w:tc>
        <w:tc>
          <w:tcPr>
            <w:tcW w:w="6064" w:type="dxa"/>
          </w:tcPr>
          <w:p w:rsidR="005F3884" w:rsidRDefault="005F3884" w:rsidP="005F3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84" w:rsidRDefault="005F3884" w:rsidP="005F38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Kvalifikacijos tobulinimo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5F3884" w:rsidRDefault="005F3884" w:rsidP="005F3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84" w:rsidRDefault="005F3884" w:rsidP="005F38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Ilgalaikė programos „Į mokinį orientuotas ugdymas </w:t>
            </w:r>
            <w:proofErr w:type="spellStart"/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įtraukties</w:t>
            </w:r>
            <w:proofErr w:type="spellEnd"/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kontekste</w:t>
            </w:r>
            <w:r w:rsidR="000C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.</w:t>
            </w:r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 </w:t>
            </w:r>
          </w:p>
          <w:p w:rsidR="005F3884" w:rsidRPr="005F3884" w:rsidRDefault="005F3884" w:rsidP="005F388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</w:p>
          <w:p w:rsidR="005F3884" w:rsidRDefault="005F3884" w:rsidP="005F38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III modulio „Psichologinės problemos ir jų sprendimo būdai įtraukiojo ugdymo sąlygomis“</w:t>
            </w:r>
            <w:r w:rsidR="000C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.</w:t>
            </w:r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 </w:t>
            </w:r>
          </w:p>
          <w:p w:rsidR="005F3884" w:rsidRPr="005F3884" w:rsidRDefault="005F3884" w:rsidP="005F388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lt-LT" w:eastAsia="lt-LT"/>
              </w:rPr>
            </w:pPr>
          </w:p>
          <w:p w:rsidR="005F3884" w:rsidRDefault="005F3884" w:rsidP="005F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t-LT" w:eastAsia="lt-LT"/>
              </w:rPr>
            </w:pPr>
            <w:r w:rsidRPr="005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t-LT" w:eastAsia="lt-LT"/>
              </w:rPr>
              <w:t>II dalis „Dėmesingas sąmoningumas kaip būdas stiprinti psichologinį atsparumą“</w:t>
            </w:r>
            <w:r w:rsidR="000C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lt-LT" w:eastAsia="lt-LT"/>
              </w:rPr>
              <w:t>.</w:t>
            </w:r>
          </w:p>
          <w:p w:rsidR="005F3884" w:rsidRDefault="005F3884" w:rsidP="005F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5F3884" w:rsidRDefault="00E610B6" w:rsidP="003B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Žvinakevičiūtė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Stankevičienė, II</w:t>
            </w:r>
            <w:r w:rsidR="005F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884"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 w:rsidR="005F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884"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 w:rsidR="005F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884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  <w:p w:rsidR="005F3884" w:rsidRDefault="005F3884" w:rsidP="003B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84" w:rsidRDefault="005F3884" w:rsidP="003B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AD" w:rsidRDefault="009B1EAD"/>
    <w:p w:rsidR="005F3884" w:rsidRDefault="005F3884"/>
    <w:sectPr w:rsidR="005F3884">
      <w:head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D5" w:rsidRDefault="00A56FD5" w:rsidP="006855CC">
      <w:pPr>
        <w:spacing w:after="0" w:line="240" w:lineRule="auto"/>
      </w:pPr>
      <w:r>
        <w:separator/>
      </w:r>
    </w:p>
  </w:endnote>
  <w:endnote w:type="continuationSeparator" w:id="0">
    <w:p w:rsidR="00A56FD5" w:rsidRDefault="00A56FD5" w:rsidP="0068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D5" w:rsidRDefault="00A56FD5" w:rsidP="006855CC">
      <w:pPr>
        <w:spacing w:after="0" w:line="240" w:lineRule="auto"/>
      </w:pPr>
      <w:r>
        <w:separator/>
      </w:r>
    </w:p>
  </w:footnote>
  <w:footnote w:type="continuationSeparator" w:id="0">
    <w:p w:rsidR="00A56FD5" w:rsidRDefault="00A56FD5" w:rsidP="0068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Pr="00920E5C" w:rsidRDefault="0034323A" w:rsidP="00920E5C">
    <w:pPr>
      <w:pStyle w:val="Antrats"/>
      <w:jc w:val="center"/>
      <w:rPr>
        <w:lang w:val="lt-LT"/>
      </w:rPr>
    </w:pPr>
    <w:r>
      <w:rPr>
        <w:lang w:val="lt-LT"/>
      </w:rPr>
      <w:t>GEROSIOS PATIRTIES SKLAIDA 2022</w:t>
    </w:r>
    <w:r w:rsidR="00920E5C">
      <w:rPr>
        <w:lang w:val="lt-LT"/>
      </w:rPr>
      <w:t xml:space="preserve"> METAIS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F8F"/>
    <w:multiLevelType w:val="hybridMultilevel"/>
    <w:tmpl w:val="AE5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B5B"/>
    <w:multiLevelType w:val="hybridMultilevel"/>
    <w:tmpl w:val="0E5C2074"/>
    <w:lvl w:ilvl="0" w:tplc="D4205262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575C7A45"/>
    <w:multiLevelType w:val="singleLevel"/>
    <w:tmpl w:val="575C7A4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F"/>
    <w:rsid w:val="00004C62"/>
    <w:rsid w:val="00082D92"/>
    <w:rsid w:val="000B35E2"/>
    <w:rsid w:val="000C5355"/>
    <w:rsid w:val="000F1502"/>
    <w:rsid w:val="00127E91"/>
    <w:rsid w:val="002008C2"/>
    <w:rsid w:val="00242EE3"/>
    <w:rsid w:val="00262E0F"/>
    <w:rsid w:val="002C7178"/>
    <w:rsid w:val="0034323A"/>
    <w:rsid w:val="003935CD"/>
    <w:rsid w:val="003F4AA0"/>
    <w:rsid w:val="00402D0A"/>
    <w:rsid w:val="004412F7"/>
    <w:rsid w:val="004C593D"/>
    <w:rsid w:val="004F015C"/>
    <w:rsid w:val="0055002F"/>
    <w:rsid w:val="005A059A"/>
    <w:rsid w:val="005F3884"/>
    <w:rsid w:val="00650472"/>
    <w:rsid w:val="00672EA4"/>
    <w:rsid w:val="006855CC"/>
    <w:rsid w:val="00710C18"/>
    <w:rsid w:val="0073098E"/>
    <w:rsid w:val="0076745F"/>
    <w:rsid w:val="008A716A"/>
    <w:rsid w:val="00920E5C"/>
    <w:rsid w:val="009609AA"/>
    <w:rsid w:val="00975E6A"/>
    <w:rsid w:val="009B1EAD"/>
    <w:rsid w:val="009B3943"/>
    <w:rsid w:val="00A23B97"/>
    <w:rsid w:val="00A260C7"/>
    <w:rsid w:val="00A56FD5"/>
    <w:rsid w:val="00A84AEA"/>
    <w:rsid w:val="00B04A79"/>
    <w:rsid w:val="00B31EB0"/>
    <w:rsid w:val="00B81A64"/>
    <w:rsid w:val="00B958BC"/>
    <w:rsid w:val="00BE31E3"/>
    <w:rsid w:val="00C25B6C"/>
    <w:rsid w:val="00C44FAB"/>
    <w:rsid w:val="00CF179B"/>
    <w:rsid w:val="00D30052"/>
    <w:rsid w:val="00DC68FB"/>
    <w:rsid w:val="00E02BE0"/>
    <w:rsid w:val="00E35562"/>
    <w:rsid w:val="00E4323B"/>
    <w:rsid w:val="00E463FE"/>
    <w:rsid w:val="00E610B6"/>
    <w:rsid w:val="00EB1992"/>
    <w:rsid w:val="00F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24</cp:revision>
  <dcterms:created xsi:type="dcterms:W3CDTF">2023-09-21T10:57:00Z</dcterms:created>
  <dcterms:modified xsi:type="dcterms:W3CDTF">2023-09-29T05:29:00Z</dcterms:modified>
</cp:coreProperties>
</file>